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3BE9" w14:textId="10FA55B3" w:rsidR="002E3AC9" w:rsidRPr="002E3AC9" w:rsidRDefault="002E3AC9" w:rsidP="002E3AC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E3AC9">
        <w:rPr>
          <w:rFonts w:ascii="仿宋" w:eastAsia="仿宋" w:hAnsi="仿宋" w:hint="eastAsia"/>
          <w:b/>
          <w:bCs/>
          <w:sz w:val="32"/>
          <w:szCs w:val="32"/>
        </w:rPr>
        <w:t>采购需求</w:t>
      </w:r>
    </w:p>
    <w:p w14:paraId="08E72E1E" w14:textId="6E895900" w:rsidR="001E3362" w:rsidRPr="002E3AC9" w:rsidRDefault="002E3AC9">
      <w:pPr>
        <w:rPr>
          <w:rFonts w:ascii="仿宋" w:eastAsia="仿宋" w:hAnsi="仿宋"/>
          <w:sz w:val="28"/>
          <w:szCs w:val="28"/>
        </w:rPr>
      </w:pPr>
      <w:r w:rsidRPr="002E3AC9">
        <w:rPr>
          <w:rFonts w:ascii="仿宋" w:eastAsia="仿宋" w:hAnsi="仿宋" w:hint="eastAsia"/>
          <w:sz w:val="28"/>
          <w:szCs w:val="28"/>
        </w:rPr>
        <w:t>一、</w:t>
      </w:r>
      <w:r w:rsidR="001E3362" w:rsidRPr="002E3AC9">
        <w:rPr>
          <w:rFonts w:ascii="仿宋" w:eastAsia="仿宋" w:hAnsi="仿宋" w:hint="eastAsia"/>
          <w:sz w:val="28"/>
          <w:szCs w:val="28"/>
        </w:rPr>
        <w:t>采购清单</w:t>
      </w:r>
    </w:p>
    <w:tbl>
      <w:tblPr>
        <w:tblpPr w:leftFromText="180" w:rightFromText="180" w:vertAnchor="text" w:horzAnchor="page" w:tblpX="661" w:tblpY="533"/>
        <w:tblOverlap w:val="never"/>
        <w:tblW w:w="6490" w:type="pct"/>
        <w:tblLayout w:type="fixed"/>
        <w:tblLook w:val="04A0" w:firstRow="1" w:lastRow="0" w:firstColumn="1" w:lastColumn="0" w:noHBand="0" w:noVBand="1"/>
      </w:tblPr>
      <w:tblGrid>
        <w:gridCol w:w="701"/>
        <w:gridCol w:w="1275"/>
        <w:gridCol w:w="1135"/>
        <w:gridCol w:w="4680"/>
        <w:gridCol w:w="709"/>
        <w:gridCol w:w="851"/>
        <w:gridCol w:w="1417"/>
      </w:tblGrid>
      <w:tr w:rsidR="002E3AC9" w:rsidRPr="002E3AC9" w14:paraId="4FE78E3D" w14:textId="77777777" w:rsidTr="002E3AC9">
        <w:trPr>
          <w:trHeight w:val="94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98B8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</w:pPr>
            <w:bookmarkStart w:id="0" w:name="OLE_LINK1" w:colFirst="0" w:colLast="4"/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9AFD8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设备或材料名称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BEBF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推荐品牌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8AEF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产品技术参数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DD93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849F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BFF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2E3AC9" w:rsidRPr="002E3AC9" w14:paraId="3CD0E0DF" w14:textId="77777777" w:rsidTr="002E3AC9">
        <w:trPr>
          <w:trHeight w:val="1947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A683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95BA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吸顶AP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EBD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信锐、新华三、华为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D2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支持802.11ax协议，支持OFDMA和MU-MIMO，内置有独立AI芯片，整机最大接入速率3.126Gbps，支持1个千兆以太网口，支持无线环境感知、认证质量感知、网络质量感知、业务质量感知及边缘安全感知；支持PoE和12V/2A本地供电；支持802.1X/移动OA/短信/多因素等多种认证方式、APP缓存、智能负载均衡、QoS、潜在风险终端和网络访问流量的识别与封堵、胖瘦一体化，支持无线漫游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BB0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D02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D16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6E9F5CF4" w14:textId="77777777" w:rsidTr="002E3AC9">
        <w:trPr>
          <w:trHeight w:val="9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8D2D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B9B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无线AP接入授权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389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信锐、新华三、华为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C3DD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AP接入授权，每增加一个管理的AP数量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A1F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7E48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60ED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如需授权</w:t>
            </w:r>
          </w:p>
        </w:tc>
      </w:tr>
      <w:tr w:rsidR="002E3AC9" w:rsidRPr="002E3AC9" w14:paraId="7396B037" w14:textId="77777777" w:rsidTr="002E3AC9">
        <w:trPr>
          <w:trHeight w:val="330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FC64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7CFD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AC控制器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EF11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与AP同品牌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547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多业务无线控制器，8-1000BASE-T网口；1个独立10G SFP+光口，1个独立1000BASE-X光口；内置超大容量1T硬盘，4G内存；支持License最小单位为1；通过License 的升级，最大可支持128个(A系列面板256个)AP的管理。AC完全本地转发模式下，通过License的升级，最大可支持800个AP(A系列面板1600个)的管理。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30D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88DF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8CC9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如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报价信锐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品牌，不需要AC控制器，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主仓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库已有信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锐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AC控制器，需提供AP接入服务</w:t>
            </w:r>
          </w:p>
        </w:tc>
      </w:tr>
      <w:tr w:rsidR="002E3AC9" w:rsidRPr="002E3AC9" w14:paraId="420452B5" w14:textId="77777777" w:rsidTr="002E3AC9">
        <w:trPr>
          <w:trHeight w:val="70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32CD5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D52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网络交换机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F0B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信锐、新华三、华为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80A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24个10/100/1000M自适应电口，4个1G/10G SFP+光口，1-24口支持PoE+/PoE，固化交流电源和风扇，整机PoE最大输出370W。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818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ADC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5254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7C08719D" w14:textId="77777777" w:rsidTr="002E3AC9">
        <w:trPr>
          <w:trHeight w:val="70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5BCB3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FBC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汇聚交换机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494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信锐、新华三、华为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FAE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28个SFP接口（SFP为千兆/百兆口），8个复用的10/100/1000M自适应电口，4个1G/10G SFP+光口，2个模块化电源插槽</w:t>
            </w:r>
          </w:p>
          <w:p w14:paraId="44CDBFD8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70W交流电源模块，支持1+1电源冗余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9D5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93E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FBF3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0F38498E" w14:textId="77777777" w:rsidTr="002E3AC9">
        <w:trPr>
          <w:trHeight w:val="706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B9A28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CFC4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66F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信锐、新华三、华为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3C7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1000BASE-LX mini GBIC转换模块（1310nm），10km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5FF3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A20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BB96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6D7A1A8C" w14:textId="77777777" w:rsidTr="002E3AC9">
        <w:trPr>
          <w:trHeight w:val="105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A7AD0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8089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400W筒形数字摄像机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F518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海康、大华、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宇视</w:t>
            </w:r>
            <w:proofErr w:type="gramEnd"/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4DCB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传感器类型：1/3英寸CMOS；</w:t>
            </w:r>
          </w:p>
          <w:p w14:paraId="17D547CE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像素：400万；最大分辨率：2688×1520；</w:t>
            </w:r>
          </w:p>
          <w:p w14:paraId="6C306241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镜头类型：定焦；</w:t>
            </w:r>
          </w:p>
          <w:p w14:paraId="17364F34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镜头焦距：6mm；</w:t>
            </w:r>
          </w:p>
          <w:p w14:paraId="19892D79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镜头光圈：F1.6；</w:t>
            </w:r>
          </w:p>
          <w:p w14:paraId="3EA23B8C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视场角：水平：52°；垂直：28°；对角：61°；</w:t>
            </w:r>
          </w:p>
          <w:p w14:paraId="70D3335D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智能编码：H.264：支持H.265：支持；</w:t>
            </w:r>
          </w:p>
          <w:p w14:paraId="716657E4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宽动态：120dB；</w:t>
            </w:r>
          </w:p>
          <w:p w14:paraId="7E46AF40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走廊模式：90°/270°（在2688×1520分辨率及以下支持）；</w:t>
            </w:r>
          </w:p>
          <w:p w14:paraId="78BE19F7" w14:textId="77777777" w:rsidR="001E3362" w:rsidRPr="002E3AC9" w:rsidRDefault="001E3362" w:rsidP="002E3AC9">
            <w:pPr>
              <w:pStyle w:val="ae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供电方式：DC12V/PoE；</w:t>
            </w:r>
          </w:p>
          <w:p w14:paraId="2FF71257" w14:textId="77777777" w:rsidR="001E3362" w:rsidRPr="002E3AC9" w:rsidRDefault="001E3362" w:rsidP="002E3AC9">
            <w:pPr>
              <w:pStyle w:val="ae"/>
              <w:rPr>
                <w:rFonts w:ascii="仿宋" w:eastAsia="仿宋" w:hAnsi="仿宋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防护等级：IP67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65F4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0D0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4850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共85个监控点位需要布线，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利旧监控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设备40台</w:t>
            </w:r>
          </w:p>
        </w:tc>
      </w:tr>
      <w:tr w:rsidR="002E3AC9" w:rsidRPr="002E3AC9" w14:paraId="23DEF80A" w14:textId="77777777" w:rsidTr="002E3AC9">
        <w:trPr>
          <w:trHeight w:val="667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965DF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DCF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筒机支架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28CD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41B7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壁装+定制支架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BE4F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925A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3C4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6F17AB7A" w14:textId="77777777" w:rsidTr="002E3AC9">
        <w:trPr>
          <w:trHeight w:val="61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E4A5C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8423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监控接入交换机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0EF4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海康、大华、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宇视</w:t>
            </w:r>
            <w:proofErr w:type="gramEnd"/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711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PoE交换机；</w:t>
            </w:r>
          </w:p>
          <w:p w14:paraId="403F7AD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24个10/100Mbps自适应PoE电口，2个10/100/1000Mbps自适应上行Combo电口，2个1000Mbps上行光口；</w:t>
            </w:r>
          </w:p>
          <w:p w14:paraId="5E5970DC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1-2单口最大PoE输出功率90w，3-24口单口最大PoE输出功率30w，整机最大PoE输出功率240w；</w:t>
            </w:r>
          </w:p>
          <w:p w14:paraId="284B9C7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交换容量：64Gbps，包转发率：11.1Mpps/18.6Mpps；</w:t>
            </w:r>
          </w:p>
          <w:p w14:paraId="77BD3978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支持250米远距离供电；支持250米远距离供电；</w:t>
            </w:r>
          </w:p>
          <w:p w14:paraId="3152A70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工作温度：-10 ℃~+55 ℃；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A4A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132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BF1D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利旧3台</w:t>
            </w:r>
            <w:proofErr w:type="spellStart"/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poe</w:t>
            </w:r>
            <w:proofErr w:type="spell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</w:tr>
      <w:tr w:rsidR="002E3AC9" w:rsidRPr="002E3AC9" w14:paraId="4836D9BA" w14:textId="77777777" w:rsidTr="002E3AC9">
        <w:trPr>
          <w:trHeight w:val="62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5AE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6727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256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海康、大华、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宇视</w:t>
            </w:r>
            <w:proofErr w:type="gramEnd"/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98EA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支持标准：IEEE 802.3z；</w:t>
            </w:r>
          </w:p>
          <w:p w14:paraId="4B4F2133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传输介质：单模光纤；</w:t>
            </w:r>
          </w:p>
          <w:p w14:paraId="35B9735A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传输距离：≤20km；</w:t>
            </w:r>
          </w:p>
          <w:p w14:paraId="268B04A9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传输速率：1.25Gbps；</w:t>
            </w:r>
          </w:p>
          <w:p w14:paraId="3E3E8D61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端口类型：双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纤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LC；</w:t>
            </w:r>
          </w:p>
          <w:p w14:paraId="00C28EB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传输波长：1310nm(TX)，1310nm(RX)；</w:t>
            </w:r>
          </w:p>
          <w:p w14:paraId="42EAD3F5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工作电压：3.3V；</w:t>
            </w:r>
          </w:p>
          <w:p w14:paraId="45D23C0A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工作温度：-40℃～85℃；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2F5D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D38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E77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59FD1963" w14:textId="77777777" w:rsidTr="002E3AC9">
        <w:trPr>
          <w:trHeight w:val="27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BA230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01AD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硬盘录像机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1599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海康、大华、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宇视</w:t>
            </w:r>
            <w:proofErr w:type="gramEnd"/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80E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主处理器：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工业级微控制器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；</w:t>
            </w:r>
          </w:p>
          <w:p w14:paraId="3B5ABEC4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操作系统：嵌入式Linux操作系统；</w:t>
            </w:r>
          </w:p>
          <w:p w14:paraId="235547BC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接入路数：64路；</w:t>
            </w:r>
          </w:p>
          <w:p w14:paraId="19ADCBA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硬盘接口：8个SATA，单盘最大20T；</w:t>
            </w:r>
          </w:p>
          <w:p w14:paraId="3B6B26D4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RS-485接口：2个（1个半双工串行AB接口，1个全双工串行接口）；</w:t>
            </w:r>
          </w:p>
          <w:p w14:paraId="18BD6657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网络接口：2个（10M/100M/1000M以太网口，RJ-45）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CA7C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B756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323D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利旧1台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32路硬盘录像机DH-NVR4832-4KS2</w:t>
            </w:r>
          </w:p>
        </w:tc>
      </w:tr>
      <w:tr w:rsidR="002E3AC9" w:rsidRPr="002E3AC9" w14:paraId="793DE1D8" w14:textId="77777777" w:rsidTr="002E3AC9">
        <w:trPr>
          <w:trHeight w:val="76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D2E4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4C3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监控硬盘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EC0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希捷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E9B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10T,7200RPM,3.5寸,SATA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0640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9221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BD6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满足85个监控30天的存储容量</w:t>
            </w:r>
          </w:p>
        </w:tc>
      </w:tr>
      <w:tr w:rsidR="002E3AC9" w:rsidRPr="002E3AC9" w14:paraId="5A37A919" w14:textId="77777777" w:rsidTr="002E3AC9">
        <w:trPr>
          <w:trHeight w:val="51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1BF8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E6B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网线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CA5C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D0C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室外防水超五类网线（国标，无氧铜），300米/箱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878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9A03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5FF9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44609C8B" w14:textId="77777777" w:rsidTr="002E3AC9">
        <w:trPr>
          <w:trHeight w:val="76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F1587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8FA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信息面板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72BB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4115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含信息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模块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919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AC04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04F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工位复核台、网口等需使用</w:t>
            </w:r>
          </w:p>
        </w:tc>
      </w:tr>
      <w:tr w:rsidR="002E3AC9" w:rsidRPr="002E3AC9" w14:paraId="291B89B1" w14:textId="77777777" w:rsidTr="002E3AC9">
        <w:trPr>
          <w:trHeight w:val="76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25829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AAA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安装辅料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F99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196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水晶头、扎带、电工胶布、PVC管接、管卡、塑料膨胀、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自攻螺丝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、光纤接头保护管、插线板、接线柱、膨胀螺栓、空开、导轨等；包括但不限于以上材料，报价中辅料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包含安需满足</w:t>
            </w:r>
            <w:proofErr w:type="gramEnd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弱电安装要求的所有辅料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433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2A5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F62A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7CE75D4C" w14:textId="77777777" w:rsidTr="002E3AC9">
        <w:trPr>
          <w:trHeight w:val="51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E1C60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56E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电源线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E4E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6D94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YJV3*1.5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AEFD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1326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80BA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676D8A9E" w14:textId="77777777" w:rsidTr="002E3AC9">
        <w:trPr>
          <w:trHeight w:val="51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2505" w14:textId="77777777" w:rsidR="001E3362" w:rsidRPr="002E3AC9" w:rsidRDefault="001E3362" w:rsidP="002E3AC9">
            <w:pPr>
              <w:jc w:val="center"/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06C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PVC管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276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7077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Φ25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665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ADAA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9B6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5C5CF100" w14:textId="77777777" w:rsidTr="002E3AC9">
        <w:trPr>
          <w:trHeight w:val="33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C52F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8A97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光缆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C01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ED5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6芯室外单模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41AE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1000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A4AC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米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4064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0DA604A7" w14:textId="77777777" w:rsidTr="002E3AC9">
        <w:trPr>
          <w:trHeight w:val="27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68170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89D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光纤终端盒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5DDF1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4DA8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8芯SC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满配</w:t>
            </w:r>
            <w:proofErr w:type="gramEnd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D71C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260A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1172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62A39F0F" w14:textId="77777777" w:rsidTr="002E3AC9">
        <w:trPr>
          <w:trHeight w:val="27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D4406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lastRenderedPageBreak/>
              <w:t>20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76D59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光跳</w:t>
            </w: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E10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国产优质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8588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SC-LC双芯单模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D85A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29F0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条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6F5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1705C756" w14:textId="77777777" w:rsidTr="002E3AC9">
        <w:trPr>
          <w:trHeight w:val="43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9FE88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7975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裸光纤服务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2D0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移动、电信、联通</w:t>
            </w: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85B6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6芯，主机房至仓库，从租赁仓2号楼机房到康乐路7号中心机房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364B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ADC1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B20E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0ED32BF9" w14:textId="77777777" w:rsidTr="002E3AC9">
        <w:trPr>
          <w:trHeight w:val="9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F8A5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B9F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UPS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30E2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山特</w:t>
            </w:r>
            <w:proofErr w:type="gramEnd"/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5423E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汇聚交换机及库内90个温湿度记录仪接入（90个记录仪 1小时约5千瓦的功率），后备4小时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B0CD4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05B8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427A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E3AC9" w:rsidRPr="002E3AC9" w14:paraId="3664798D" w14:textId="77777777" w:rsidTr="002E3AC9">
        <w:trPr>
          <w:trHeight w:val="270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AA747" w14:textId="77777777" w:rsidR="001E3362" w:rsidRPr="002E3AC9" w:rsidRDefault="001E3362" w:rsidP="002E3AC9">
            <w:pPr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3500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人工安装费（网络/AP/摄像头安装调试、综合布线、登高租赁、打孔开洞等）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DEB2F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44E08" w14:textId="77777777" w:rsidR="001E3362" w:rsidRPr="002E3AC9" w:rsidRDefault="001E3362" w:rsidP="002E3AC9">
            <w:pPr>
              <w:widowControl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库区有线网络布线、工位布线、无线AP、监控布线调试、登高租赁、打孔开洞等服务。施工安装费用包含耗材、安装费，报价中含所有的施工费用，包含但不限于以上服务内容，确保达到项目运行标准。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4838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978D7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  <w:r w:rsidRPr="002E3AC9"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AA8B" w14:textId="77777777" w:rsidR="001E3362" w:rsidRPr="002E3AC9" w:rsidRDefault="001E3362" w:rsidP="002E3AC9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bookmarkEnd w:id="0"/>
    </w:tbl>
    <w:p w14:paraId="5D5542F9" w14:textId="77777777" w:rsidR="001E3362" w:rsidRDefault="001E3362"/>
    <w:p w14:paraId="2A7D3784" w14:textId="77777777" w:rsidR="002E3AC9" w:rsidRDefault="002E3AC9" w:rsidP="002E3AC9">
      <w:pPr>
        <w:pStyle w:val="a9"/>
        <w:numPr>
          <w:ilvl w:val="0"/>
          <w:numId w:val="1"/>
        </w:numPr>
        <w:spacing w:after="0" w:line="360" w:lineRule="auto"/>
        <w:ind w:left="0"/>
        <w:contextualSpacing w:val="0"/>
        <w:jc w:val="both"/>
        <w:outlineLvl w:val="0"/>
        <w:rPr>
          <w:rFonts w:ascii="仿宋" w:eastAsia="仿宋" w:hAnsi="仿宋" w:cs="宋体" w:hint="eastAsia"/>
          <w:b/>
          <w:bCs/>
          <w:spacing w:val="9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pacing w:val="9"/>
          <w:sz w:val="28"/>
          <w:szCs w:val="28"/>
        </w:rPr>
        <w:t>产品质量与服务要求</w:t>
      </w:r>
    </w:p>
    <w:p w14:paraId="20C77D1A" w14:textId="77777777" w:rsidR="002E3AC9" w:rsidRDefault="002E3AC9" w:rsidP="002E3AC9">
      <w:pPr>
        <w:pStyle w:val="a9"/>
        <w:numPr>
          <w:ilvl w:val="0"/>
          <w:numId w:val="2"/>
        </w:numPr>
        <w:spacing w:after="0" w:line="360" w:lineRule="auto"/>
        <w:ind w:left="0" w:firstLine="420"/>
        <w:contextualSpacing w:val="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供应商提供设备及设备安装调试服务，实现租赁</w:t>
      </w:r>
      <w:proofErr w:type="gramStart"/>
      <w:r>
        <w:rPr>
          <w:rFonts w:ascii="仿宋" w:eastAsia="仿宋" w:hAnsi="仿宋" w:hint="eastAsia"/>
          <w:sz w:val="28"/>
          <w:szCs w:val="28"/>
        </w:rPr>
        <w:t>仓网络</w:t>
      </w:r>
      <w:proofErr w:type="gramEnd"/>
      <w:r>
        <w:rPr>
          <w:rFonts w:ascii="仿宋" w:eastAsia="仿宋" w:hAnsi="仿宋" w:hint="eastAsia"/>
          <w:sz w:val="28"/>
          <w:szCs w:val="28"/>
        </w:rPr>
        <w:t>和</w:t>
      </w:r>
      <w:proofErr w:type="gramStart"/>
      <w:r>
        <w:rPr>
          <w:rFonts w:ascii="仿宋" w:eastAsia="仿宋" w:hAnsi="仿宋" w:hint="eastAsia"/>
          <w:sz w:val="28"/>
          <w:szCs w:val="28"/>
        </w:rPr>
        <w:t>主仓</w:t>
      </w:r>
      <w:proofErr w:type="gramEnd"/>
      <w:r>
        <w:rPr>
          <w:rFonts w:ascii="仿宋" w:eastAsia="仿宋" w:hAnsi="仿宋" w:hint="eastAsia"/>
          <w:sz w:val="28"/>
          <w:szCs w:val="28"/>
        </w:rPr>
        <w:t>库机房网络联通。</w:t>
      </w:r>
    </w:p>
    <w:p w14:paraId="20170020" w14:textId="77777777" w:rsidR="002E3AC9" w:rsidRDefault="002E3AC9" w:rsidP="002E3AC9">
      <w:pPr>
        <w:spacing w:line="360" w:lineRule="auto"/>
        <w:ind w:firstLine="420"/>
        <w:outlineLvl w:val="1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2.产品质量要求：</w:t>
      </w:r>
    </w:p>
    <w:p w14:paraId="2D6C8F83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（1）供应商所供商品均为原厂生产、正规销售渠道进货的全新合格品，附带货物出厂检验合格证。如采购人需要，需提供原生产厂家的完整供应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链销售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凭证。</w:t>
      </w:r>
    </w:p>
    <w:p w14:paraId="38CA5DCC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（2）设备参数必须满足采购人的需求。如发生所供货物与比选文件、合同不符，采购人有权拒收或退货，并按照逾期交货处理，由此产生的一切责任和后果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由成交人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承担。</w:t>
      </w:r>
    </w:p>
    <w:p w14:paraId="467D2058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（3）若所供产品存在非采购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人原因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的任何外包装或内物破损等影响产品质量的情况，成交人无条件进行退换货，并承诺及时提供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合格产品。</w:t>
      </w:r>
    </w:p>
    <w:p w14:paraId="494EA383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（4）采购人在使用货物过程中发现任何质量问题，成交人必须无条件配合采购人查明原因，并依法按约处理。</w:t>
      </w:r>
    </w:p>
    <w:p w14:paraId="68E3C6BB" w14:textId="77777777" w:rsidR="002E3AC9" w:rsidRDefault="002E3AC9" w:rsidP="002E3AC9">
      <w:pPr>
        <w:snapToGrid w:val="0"/>
        <w:spacing w:line="360" w:lineRule="auto"/>
        <w:ind w:firstLineChars="200" w:firstLine="560"/>
        <w:outlineLvl w:val="1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3.产品质保期</w:t>
      </w:r>
    </w:p>
    <w:p w14:paraId="054BF497" w14:textId="77777777" w:rsidR="002E3AC9" w:rsidRDefault="002E3AC9" w:rsidP="002E3AC9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设备的质量保证期为</w:t>
      </w:r>
      <w:proofErr w:type="gramStart"/>
      <w:r>
        <w:rPr>
          <w:rFonts w:ascii="仿宋" w:eastAsia="仿宋" w:hAnsi="仿宋" w:hint="eastAsia"/>
          <w:sz w:val="28"/>
          <w:szCs w:val="28"/>
        </w:rPr>
        <w:t>自设备</w:t>
      </w:r>
      <w:proofErr w:type="gramEnd"/>
      <w:r>
        <w:rPr>
          <w:rFonts w:ascii="仿宋" w:eastAsia="仿宋" w:hAnsi="仿宋" w:hint="eastAsia"/>
          <w:sz w:val="28"/>
          <w:szCs w:val="28"/>
        </w:rPr>
        <w:t>运行验收完成日起36个月；</w:t>
      </w:r>
      <w:proofErr w:type="gramStart"/>
      <w:r>
        <w:rPr>
          <w:rFonts w:ascii="仿宋" w:eastAsia="仿宋" w:hAnsi="仿宋" w:hint="eastAsia"/>
          <w:sz w:val="28"/>
          <w:szCs w:val="28"/>
        </w:rPr>
        <w:t>工程维保1年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14:paraId="4DF2F39C" w14:textId="77777777" w:rsidR="002E3AC9" w:rsidRDefault="002E3AC9" w:rsidP="002E3AC9">
      <w:pPr>
        <w:spacing w:line="360" w:lineRule="auto"/>
        <w:ind w:firstLineChars="200" w:firstLine="560"/>
        <w:outlineLvl w:val="1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4.其他要求：</w:t>
      </w:r>
    </w:p>
    <w:p w14:paraId="7C788EB2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（1）货物在运输、装卸过程中，发生意外事故和故障损失，均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由成交人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承担责任。</w:t>
      </w:r>
    </w:p>
    <w:p w14:paraId="38073980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（2）货物在整个运送过程中产生的一切费用，如货物装卸费用、安全费用、环保费用等全部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由成交人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负责。</w:t>
      </w:r>
    </w:p>
    <w:p w14:paraId="0835C0A4" w14:textId="77777777" w:rsidR="002E3AC9" w:rsidRDefault="002E3AC9" w:rsidP="002E3AC9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（3）成交人必须遵守有关法律法规及采购人的规章制度。否则，成交人应承担相应责任。</w:t>
      </w:r>
    </w:p>
    <w:p w14:paraId="112BFE97" w14:textId="77777777" w:rsidR="002E3AC9" w:rsidRDefault="002E3AC9" w:rsidP="002E3AC9">
      <w:pPr>
        <w:spacing w:line="360" w:lineRule="auto"/>
        <w:ind w:firstLineChars="200" w:firstLine="560"/>
        <w:outlineLvl w:val="2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（4）施工人员要求具备登高作业证和电工证。</w:t>
      </w:r>
    </w:p>
    <w:p w14:paraId="44A6C5E4" w14:textId="12037A73" w:rsidR="002E3AC9" w:rsidRPr="002E3AC9" w:rsidRDefault="002E3AC9" w:rsidP="002E3AC9">
      <w:pPr>
        <w:rPr>
          <w:rFonts w:hint="eastAsia"/>
        </w:rPr>
      </w:pPr>
    </w:p>
    <w:sectPr w:rsidR="002E3AC9" w:rsidRPr="002E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6CE93B"/>
    <w:multiLevelType w:val="singleLevel"/>
    <w:tmpl w:val="866CE9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77373D"/>
    <w:multiLevelType w:val="singleLevel"/>
    <w:tmpl w:val="FD77373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60186107">
    <w:abstractNumId w:val="0"/>
  </w:num>
  <w:num w:numId="2" w16cid:durableId="295644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62"/>
    <w:rsid w:val="001E3362"/>
    <w:rsid w:val="002E3AC9"/>
    <w:rsid w:val="00F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88FC"/>
  <w15:chartTrackingRefBased/>
  <w15:docId w15:val="{A28292C4-6213-42BC-AE94-0912DBFE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36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36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36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3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36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36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36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362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1E3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3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36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336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1E336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f">
    <w:name w:val="页脚 字符"/>
    <w:basedOn w:val="a0"/>
    <w:link w:val="ae"/>
    <w:uiPriority w:val="99"/>
    <w:qFormat/>
    <w:rsid w:val="001E3362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洛</dc:creator>
  <cp:keywords/>
  <dc:description/>
  <cp:lastModifiedBy>阳 洛</cp:lastModifiedBy>
  <cp:revision>2</cp:revision>
  <dcterms:created xsi:type="dcterms:W3CDTF">2024-08-09T00:55:00Z</dcterms:created>
  <dcterms:modified xsi:type="dcterms:W3CDTF">2024-08-09T01:00:00Z</dcterms:modified>
</cp:coreProperties>
</file>